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00055" w:rsidP="00800055" w:rsidRDefault="00800055" w14:paraId="7F53AA9B" w14:textId="77777777">
      <w:pPr>
        <w:jc w:val="left"/>
        <w:rPr>
          <w:rStyle w:val="Heading1Text"/>
          <w:sz w:val="28"/>
          <w:szCs w:val="28"/>
        </w:rPr>
      </w:pPr>
    </w:p>
    <w:p w:rsidR="00800055" w:rsidP="00800055" w:rsidRDefault="00800055" w14:paraId="7DD70858" w14:textId="5B7A5675">
      <w:pPr>
        <w:jc w:val="left"/>
        <w:rPr>
          <w:rStyle w:val="Heading1Text"/>
          <w:sz w:val="28"/>
          <w:szCs w:val="28"/>
        </w:rPr>
      </w:pPr>
      <w:r>
        <w:rPr>
          <w:noProof/>
        </w:rPr>
        <w:drawing>
          <wp:anchor distT="0" distB="0" distL="114300" distR="114300" simplePos="0" relativeHeight="251658240" behindDoc="0" locked="0" layoutInCell="1" allowOverlap="1" wp14:anchorId="367E884E" wp14:editId="2F3FF3D3">
            <wp:simplePos x="0" y="0"/>
            <wp:positionH relativeFrom="margin">
              <wp:posOffset>4386629</wp:posOffset>
            </wp:positionH>
            <wp:positionV relativeFrom="margin">
              <wp:posOffset>-418758</wp:posOffset>
            </wp:positionV>
            <wp:extent cx="1231900" cy="502285"/>
            <wp:effectExtent l="0" t="0" r="6350" b="0"/>
            <wp:wrapSquare wrapText="bothSides"/>
            <wp:docPr id="136518796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87961" name="Picture 1"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900" cy="502285"/>
                    </a:xfrm>
                    <a:prstGeom prst="rect">
                      <a:avLst/>
                    </a:prstGeom>
                  </pic:spPr>
                </pic:pic>
              </a:graphicData>
            </a:graphic>
          </wp:anchor>
        </w:drawing>
      </w:r>
      <w:r>
        <w:rPr>
          <w:rStyle w:val="Heading1Text"/>
          <w:sz w:val="28"/>
          <w:szCs w:val="28"/>
        </w:rPr>
        <w:t>62</w:t>
      </w:r>
      <w:r w:rsidRPr="00800055">
        <w:rPr>
          <w:rStyle w:val="Heading1Text"/>
          <w:sz w:val="28"/>
          <w:szCs w:val="28"/>
          <w:vertAlign w:val="superscript"/>
        </w:rPr>
        <w:t>nd</w:t>
      </w:r>
      <w:r>
        <w:rPr>
          <w:rStyle w:val="Heading1Text"/>
          <w:sz w:val="28"/>
          <w:szCs w:val="28"/>
        </w:rPr>
        <w:t xml:space="preserve"> Annual general meeting – 15</w:t>
      </w:r>
      <w:r w:rsidRPr="00800055">
        <w:rPr>
          <w:rStyle w:val="Heading1Text"/>
          <w:sz w:val="28"/>
          <w:szCs w:val="28"/>
          <w:vertAlign w:val="superscript"/>
        </w:rPr>
        <w:t>th</w:t>
      </w:r>
      <w:r>
        <w:rPr>
          <w:rStyle w:val="Heading1Text"/>
          <w:sz w:val="28"/>
          <w:szCs w:val="28"/>
        </w:rPr>
        <w:t xml:space="preserve"> November 2025</w:t>
      </w:r>
    </w:p>
    <w:p w:rsidR="00800055" w:rsidP="00800055" w:rsidRDefault="00800055" w14:paraId="41C421F4" w14:textId="77777777">
      <w:pPr>
        <w:jc w:val="left"/>
        <w:rPr>
          <w:rStyle w:val="Heading1Text"/>
          <w:sz w:val="28"/>
          <w:szCs w:val="28"/>
        </w:rPr>
      </w:pPr>
    </w:p>
    <w:p w:rsidRPr="00800055" w:rsidR="00800055" w:rsidP="00800055" w:rsidRDefault="00800055" w14:paraId="04EAAD48" w14:textId="5B639A57">
      <w:pPr>
        <w:rPr>
          <w:b/>
          <w:bCs/>
        </w:rPr>
      </w:pPr>
      <w:r w:rsidRPr="00800055">
        <w:rPr>
          <w:b/>
          <w:bCs/>
        </w:rPr>
        <w:t>Special Resolution for Members:</w:t>
      </w:r>
    </w:p>
    <w:p w:rsidR="00800055" w:rsidP="00800055" w:rsidRDefault="00800055" w14:paraId="3A066804" w14:textId="77777777"/>
    <w:p w:rsidR="00800055" w:rsidP="00800055" w:rsidRDefault="00800055" w14:paraId="22D13886" w14:textId="77777777">
      <w:r w:rsidRPr="006543AC">
        <w:t xml:space="preserve">It is good governance practice to review Articles periodically to ensure that they are still functioning for our organisation. Shoosmiths LLP has worked with The Wildlife Trusts to update template articles of association in 2025, and in conjunction with the five Welsh Trusts, has reviewed them in detail to ensure that they offer a straightforward approach to the governance requirements of a Trust. Through all Welsh Trusts choosing to adopt the same template articles, </w:t>
      </w:r>
      <w:r w:rsidRPr="00AE18E4">
        <w:t xml:space="preserve">with relevant local amendments as necessary, this will facilitate the governance aspects of delivering joint working. </w:t>
      </w:r>
      <w:r w:rsidRPr="006543AC">
        <w:t xml:space="preserve">At the same time, this aligned approach will also bring efficiency and effectiveness when reviewing and updating governance in the future and in developing associated policies and procedures. </w:t>
      </w:r>
    </w:p>
    <w:p w:rsidR="00800055" w:rsidP="00800055" w:rsidRDefault="00800055" w14:paraId="4F7222B4" w14:textId="77777777"/>
    <w:p w:rsidR="00800055" w:rsidP="00800055" w:rsidRDefault="00800055" w14:paraId="68AA2BCE" w14:textId="77777777">
      <w:r>
        <w:t>Members are asked to vote on the following:</w:t>
      </w:r>
    </w:p>
    <w:p w:rsidR="00800055" w:rsidP="00800055" w:rsidRDefault="00800055" w14:paraId="635F6490" w14:textId="77777777"/>
    <w:p w:rsidRPr="00D90070" w:rsidR="00800055" w:rsidP="00800055" w:rsidRDefault="00800055" w14:paraId="5DA1C346" w14:textId="55AAB92A">
      <w:pPr>
        <w:pStyle w:val="ListParagraph"/>
        <w:numPr>
          <w:ilvl w:val="0"/>
          <w:numId w:val="1"/>
        </w:numPr>
      </w:pPr>
      <w:r>
        <w:rPr>
          <w:b/>
          <w:bCs/>
        </w:rPr>
        <w:t>T</w:t>
      </w:r>
      <w:r w:rsidRPr="002620B0">
        <w:rPr>
          <w:b/>
          <w:bCs/>
        </w:rPr>
        <w:t xml:space="preserve">o adopt the new Articles including the revised Objects which have been approved by the Charity Commission on </w:t>
      </w:r>
      <w:r w:rsidR="00AE18E4">
        <w:rPr>
          <w:b/>
          <w:bCs/>
        </w:rPr>
        <w:t>28</w:t>
      </w:r>
      <w:r w:rsidRPr="00AE18E4" w:rsidR="00AE18E4">
        <w:rPr>
          <w:b/>
          <w:bCs/>
          <w:vertAlign w:val="superscript"/>
        </w:rPr>
        <w:t>th</w:t>
      </w:r>
      <w:r w:rsidR="00AE18E4">
        <w:rPr>
          <w:b/>
          <w:bCs/>
        </w:rPr>
        <w:t xml:space="preserve"> August 2025. </w:t>
      </w:r>
    </w:p>
    <w:p w:rsidR="00800055" w:rsidP="00800055" w:rsidRDefault="00800055" w14:paraId="21CD41E7" w14:textId="77777777"/>
    <w:p w:rsidR="00800055" w:rsidP="00800055" w:rsidRDefault="00800055" w14:paraId="74905DDB" w14:textId="118E5D2C">
      <w:r>
        <w:t xml:space="preserve">The Charity Commission has granted formal consent under s198(2)(a) of the Charities Act 2011 to amend the charity’s objects to read: </w:t>
      </w:r>
    </w:p>
    <w:p w:rsidRPr="00800055" w:rsidR="00800055" w:rsidP="00800055" w:rsidRDefault="00800055" w14:paraId="3FCCC8A9" w14:textId="41C6F7ED">
      <w:pPr>
        <w:pStyle w:val="Heading1"/>
        <w:numPr>
          <w:ilvl w:val="0"/>
          <w:numId w:val="2"/>
        </w:numPr>
        <w:tabs>
          <w:tab w:val="clear" w:pos="2977"/>
        </w:tabs>
        <w:ind w:left="0" w:firstLine="0"/>
        <w:rPr>
          <w:b/>
          <w:bCs/>
          <w:color w:val="auto"/>
          <w:sz w:val="22"/>
          <w:szCs w:val="22"/>
        </w:rPr>
      </w:pPr>
      <w:bookmarkStart w:name="_Toc15943341" w:id="0"/>
      <w:bookmarkStart w:name="_Toc37078515" w:id="1"/>
      <w:bookmarkStart w:name="_9kMHG5YVt39A69FcGimgwD" w:id="2"/>
      <w:bookmarkStart w:name="_Toc75449464" w:id="3"/>
      <w:bookmarkStart w:name="_Toc187999845" w:id="4"/>
      <w:r w:rsidRPr="00800055">
        <w:rPr>
          <w:b/>
          <w:bCs/>
          <w:color w:val="auto"/>
          <w:sz w:val="22"/>
          <w:szCs w:val="22"/>
        </w:rPr>
        <w:t>Object</w:t>
      </w:r>
      <w:bookmarkEnd w:id="0"/>
      <w:bookmarkEnd w:id="1"/>
      <w:bookmarkEnd w:id="2"/>
      <w:bookmarkEnd w:id="3"/>
      <w:bookmarkEnd w:id="4"/>
    </w:p>
    <w:p w:rsidRPr="00800055" w:rsidR="00800055" w:rsidP="00800055" w:rsidRDefault="00800055" w14:paraId="2E3AC790" w14:textId="77777777">
      <w:pPr>
        <w:pStyle w:val="Level2"/>
      </w:pPr>
      <w:r w:rsidRPr="00800055">
        <w:t xml:space="preserve">The </w:t>
      </w:r>
      <w:bookmarkStart w:name="_9kMH1I6ZWu4AB78HUBgr03K" w:id="5"/>
      <w:bookmarkStart w:name="_9kMH1I6ZWu4AB78IVBgr03K" w:id="6"/>
      <w:r w:rsidRPr="00800055">
        <w:t>Trust's</w:t>
      </w:r>
      <w:bookmarkEnd w:id="5"/>
      <w:bookmarkEnd w:id="6"/>
      <w:r w:rsidRPr="00800055">
        <w:t xml:space="preserve"> objects ("</w:t>
      </w:r>
      <w:bookmarkStart w:name="_9kR3WTr17847DaEgkeuB" w:id="7"/>
      <w:r w:rsidRPr="00800055">
        <w:rPr>
          <w:rStyle w:val="BoldText"/>
        </w:rPr>
        <w:t>Objects</w:t>
      </w:r>
      <w:bookmarkEnd w:id="7"/>
      <w:r w:rsidRPr="00800055">
        <w:t>") for which the Charity is established are for the benefit of the public:</w:t>
      </w:r>
    </w:p>
    <w:p w:rsidRPr="00800055" w:rsidR="00800055" w:rsidP="00800055" w:rsidRDefault="00800055" w14:paraId="2006981C" w14:textId="77777777">
      <w:pPr>
        <w:pStyle w:val="Level2"/>
        <w:numPr>
          <w:ilvl w:val="0"/>
          <w:numId w:val="3"/>
        </w:numPr>
      </w:pPr>
      <w:r w:rsidRPr="00800055">
        <w:t>To advance, promote and further the conservation, maintenance, restoration and protection of:</w:t>
      </w:r>
      <w:r w:rsidRPr="00800055">
        <w:br/>
      </w:r>
      <w:r w:rsidRPr="00800055">
        <w:br/>
      </w:r>
      <w:r w:rsidRPr="00800055">
        <w:t xml:space="preserve"> </w:t>
      </w:r>
      <w:r w:rsidRPr="00800055">
        <w:tab/>
      </w:r>
      <w:r w:rsidRPr="00800055">
        <w:t>(i) wildlife, their habitats and ecosystems</w:t>
      </w:r>
    </w:p>
    <w:p w:rsidRPr="00800055" w:rsidR="00800055" w:rsidP="00800055" w:rsidRDefault="00800055" w14:paraId="380637E0" w14:textId="77777777">
      <w:pPr>
        <w:pStyle w:val="Body2"/>
      </w:pPr>
      <w:r w:rsidRPr="00800055">
        <w:tab/>
      </w:r>
      <w:r w:rsidRPr="00800055">
        <w:tab/>
      </w:r>
      <w:r w:rsidRPr="00800055">
        <w:t xml:space="preserve">(ii) places of zoological, botanical, geological, ecological or scientific interest or of  </w:t>
      </w:r>
      <w:r w:rsidRPr="00800055">
        <w:br/>
      </w:r>
      <w:r w:rsidRPr="00800055">
        <w:t xml:space="preserve">                  natural beauty or landscape value</w:t>
      </w:r>
    </w:p>
    <w:p w:rsidRPr="00800055" w:rsidR="00800055" w:rsidP="00800055" w:rsidRDefault="00800055" w14:paraId="619A4DB6" w14:textId="77777777">
      <w:pPr>
        <w:pStyle w:val="Level3"/>
        <w:numPr>
          <w:ilvl w:val="0"/>
          <w:numId w:val="3"/>
        </w:numPr>
      </w:pPr>
      <w:r w:rsidRPr="00800055">
        <w:t>To advance the education of the public in relation to all aspects of a) above.</w:t>
      </w:r>
    </w:p>
    <w:p w:rsidRPr="00800055" w:rsidR="00800055" w:rsidP="00800055" w:rsidRDefault="00800055" w14:paraId="77A427F0" w14:textId="77777777">
      <w:pPr>
        <w:pStyle w:val="Level3"/>
        <w:numPr>
          <w:ilvl w:val="0"/>
          <w:numId w:val="3"/>
        </w:numPr>
      </w:pPr>
      <w:r w:rsidRPr="00800055">
        <w:t xml:space="preserve">To promote research and the dissemination of information in relation to all aspects of a) above. </w:t>
      </w:r>
    </w:p>
    <w:p w:rsidR="00800055" w:rsidP="00800055" w:rsidRDefault="00800055" w14:paraId="454157BA" w14:textId="61CE2845"/>
    <w:p w:rsidR="00800055" w:rsidP="00800055" w:rsidRDefault="00800055" w14:paraId="0B6B1F71" w14:textId="3232B9D2"/>
    <w:p w:rsidR="00800055" w:rsidP="00800055" w:rsidRDefault="00800055" w14:paraId="1911AC41" w14:textId="2AA55876">
      <w:r>
        <w:br w:type="page"/>
      </w:r>
    </w:p>
    <w:p w:rsidR="00800055" w:rsidP="7F4A7295" w:rsidRDefault="00800055" w14:paraId="15A23168" w14:textId="50577A0D">
      <w:pPr>
        <w:pStyle w:val="Normal"/>
      </w:pPr>
      <w:r w:rsidR="00800055">
        <w:rPr/>
        <w:t xml:space="preserve">A summary of </w:t>
      </w:r>
      <w:r w:rsidR="00AE18E4">
        <w:rPr/>
        <w:t xml:space="preserve">all </w:t>
      </w:r>
      <w:r w:rsidR="00800055">
        <w:rPr/>
        <w:t xml:space="preserve">changes </w:t>
      </w:r>
      <w:r w:rsidR="00800055">
        <w:rPr/>
        <w:t>are</w:t>
      </w:r>
      <w:r w:rsidR="00800055">
        <w:rPr/>
        <w:t xml:space="preserve">: </w:t>
      </w:r>
    </w:p>
    <w:p w:rsidRPr="00433500" w:rsidR="00800055" w:rsidP="00800055" w:rsidRDefault="00800055" w14:paraId="0018A3CE" w14:textId="77777777"/>
    <w:tbl>
      <w:tblPr>
        <w:tblStyle w:val="TableGrid"/>
        <w:tblW w:w="9067" w:type="dxa"/>
        <w:tblLook w:val="04A0" w:firstRow="1" w:lastRow="0" w:firstColumn="1" w:lastColumn="0" w:noHBand="0" w:noVBand="1"/>
      </w:tblPr>
      <w:tblGrid>
        <w:gridCol w:w="2091"/>
        <w:gridCol w:w="3256"/>
        <w:gridCol w:w="3720"/>
      </w:tblGrid>
      <w:tr w:rsidRPr="001329B3" w:rsidR="00800055" w:rsidTr="00244895" w14:paraId="7B0FFF62" w14:textId="77777777">
        <w:tc>
          <w:tcPr>
            <w:tcW w:w="2091" w:type="dxa"/>
          </w:tcPr>
          <w:p w:rsidRPr="001329B3" w:rsidR="00800055" w:rsidP="00244895" w:rsidRDefault="00800055" w14:paraId="7F4B49D2" w14:textId="77777777">
            <w:pPr>
              <w:rPr>
                <w:b/>
                <w:bCs/>
              </w:rPr>
            </w:pPr>
          </w:p>
        </w:tc>
        <w:tc>
          <w:tcPr>
            <w:tcW w:w="3256" w:type="dxa"/>
          </w:tcPr>
          <w:p w:rsidRPr="001329B3" w:rsidR="00800055" w:rsidP="00244895" w:rsidRDefault="00800055" w14:paraId="065BEC90" w14:textId="6030702B">
            <w:pPr>
              <w:rPr>
                <w:b/>
                <w:bCs/>
              </w:rPr>
            </w:pPr>
            <w:r>
              <w:rPr>
                <w:b/>
                <w:bCs/>
              </w:rPr>
              <w:t>Current 2021 V</w:t>
            </w:r>
            <w:r w:rsidRPr="001329B3">
              <w:rPr>
                <w:b/>
                <w:bCs/>
              </w:rPr>
              <w:t xml:space="preserve">ersion </w:t>
            </w:r>
            <w:r>
              <w:rPr>
                <w:b/>
                <w:bCs/>
              </w:rPr>
              <w:t>A</w:t>
            </w:r>
          </w:p>
        </w:tc>
        <w:tc>
          <w:tcPr>
            <w:tcW w:w="3720" w:type="dxa"/>
          </w:tcPr>
          <w:p w:rsidRPr="001329B3" w:rsidR="00800055" w:rsidP="00244895" w:rsidRDefault="00800055" w14:paraId="0F8EF9C0" w14:textId="597772AF">
            <w:pPr>
              <w:rPr>
                <w:b/>
                <w:bCs/>
              </w:rPr>
            </w:pPr>
            <w:r>
              <w:rPr>
                <w:b/>
                <w:bCs/>
              </w:rPr>
              <w:t xml:space="preserve">Revised </w:t>
            </w:r>
            <w:r w:rsidRPr="001329B3">
              <w:rPr>
                <w:b/>
                <w:bCs/>
              </w:rPr>
              <w:t>Version</w:t>
            </w:r>
            <w:r>
              <w:rPr>
                <w:b/>
                <w:bCs/>
              </w:rPr>
              <w:t xml:space="preserve"> - </w:t>
            </w:r>
            <w:r w:rsidRPr="001329B3">
              <w:rPr>
                <w:b/>
                <w:bCs/>
              </w:rPr>
              <w:t>2025</w:t>
            </w:r>
          </w:p>
        </w:tc>
      </w:tr>
      <w:tr w:rsidR="00800055" w:rsidTr="00244895" w14:paraId="31963371" w14:textId="77777777">
        <w:tc>
          <w:tcPr>
            <w:tcW w:w="2091" w:type="dxa"/>
          </w:tcPr>
          <w:p w:rsidR="00800055" w:rsidP="00244895" w:rsidRDefault="00800055" w14:paraId="2FC53B21" w14:textId="77777777">
            <w:r>
              <w:t>Updated Language and Terminology</w:t>
            </w:r>
          </w:p>
        </w:tc>
        <w:tc>
          <w:tcPr>
            <w:tcW w:w="3256" w:type="dxa"/>
          </w:tcPr>
          <w:p w:rsidR="00800055" w:rsidP="00244895" w:rsidRDefault="00800055" w14:paraId="3C7A2373" w14:textId="77777777">
            <w:r>
              <w:t>Uses traditional legal phrasing; lacks references to digital or hybrid meeting formats.</w:t>
            </w:r>
          </w:p>
        </w:tc>
        <w:tc>
          <w:tcPr>
            <w:tcW w:w="3720" w:type="dxa"/>
          </w:tcPr>
          <w:p w:rsidR="00800055" w:rsidP="00244895" w:rsidRDefault="00800055" w14:paraId="34AED10A" w14:textId="77777777">
            <w:r>
              <w:t>Modernized phrasing such as 'electronic communication', 'digital meetings', and 'proxy voting'.</w:t>
            </w:r>
          </w:p>
        </w:tc>
      </w:tr>
      <w:tr w:rsidR="00800055" w:rsidTr="00244895" w14:paraId="6268D6C2" w14:textId="77777777">
        <w:tc>
          <w:tcPr>
            <w:tcW w:w="2091" w:type="dxa"/>
          </w:tcPr>
          <w:p w:rsidR="00800055" w:rsidP="00244895" w:rsidRDefault="00800055" w14:paraId="6A40427A" w14:textId="77777777">
            <w:r>
              <w:t>Expanded Definitions and Clauses</w:t>
            </w:r>
          </w:p>
        </w:tc>
        <w:tc>
          <w:tcPr>
            <w:tcW w:w="3256" w:type="dxa"/>
          </w:tcPr>
          <w:p w:rsidR="00800055" w:rsidP="00244895" w:rsidRDefault="00800055" w14:paraId="3E4326A6" w14:textId="77777777">
            <w:r>
              <w:t>Limited detail on trustee eligibility, proxy voting, and digital participation.</w:t>
            </w:r>
          </w:p>
        </w:tc>
        <w:tc>
          <w:tcPr>
            <w:tcW w:w="3720" w:type="dxa"/>
          </w:tcPr>
          <w:p w:rsidR="00800055" w:rsidP="00244895" w:rsidRDefault="00800055" w14:paraId="312E9076" w14:textId="77777777">
            <w:r>
              <w:t>Detailed clauses on trustee disqualification, proxy notice rules, and electronic meetings.</w:t>
            </w:r>
          </w:p>
        </w:tc>
      </w:tr>
      <w:tr w:rsidR="00800055" w:rsidTr="00244895" w14:paraId="4B7B1F0B" w14:textId="77777777">
        <w:tc>
          <w:tcPr>
            <w:tcW w:w="2091" w:type="dxa"/>
          </w:tcPr>
          <w:p w:rsidR="00800055" w:rsidP="00244895" w:rsidRDefault="00800055" w14:paraId="6B03ACC9" w14:textId="77777777">
            <w:r>
              <w:t>Revised Objects and Powers</w:t>
            </w:r>
          </w:p>
        </w:tc>
        <w:tc>
          <w:tcPr>
            <w:tcW w:w="3256" w:type="dxa"/>
          </w:tcPr>
          <w:p w:rsidR="00800055" w:rsidP="00244895" w:rsidRDefault="00800055" w14:paraId="070892D5" w14:textId="77777777">
            <w:r w:rsidRPr="00E170FE">
              <w:t>Traditional list of charitable objects including biodiversity and sustainable development.</w:t>
            </w:r>
          </w:p>
        </w:tc>
        <w:tc>
          <w:tcPr>
            <w:tcW w:w="3720" w:type="dxa"/>
          </w:tcPr>
          <w:p w:rsidR="00800055" w:rsidP="00244895" w:rsidRDefault="00800055" w14:paraId="6EF5B9F0" w14:textId="77777777">
            <w:r>
              <w:t>Simplified and modernized into three core objects: conservation, education, and research.</w:t>
            </w:r>
          </w:p>
          <w:p w:rsidR="00800055" w:rsidP="00244895" w:rsidRDefault="00800055" w14:paraId="63EB0DBE" w14:textId="77777777">
            <w:pPr>
              <w:spacing w:after="200" w:line="276" w:lineRule="auto"/>
            </w:pPr>
            <w:r w:rsidRPr="00E170FE">
              <w:t>Powers in Version B are more clearly structured and aligned with Charity Commission guidance, including modern fundraising and advocacy provisions.</w:t>
            </w:r>
          </w:p>
        </w:tc>
      </w:tr>
      <w:tr w:rsidR="00800055" w:rsidTr="00244895" w14:paraId="5F0BE85E" w14:textId="77777777">
        <w:tc>
          <w:tcPr>
            <w:tcW w:w="2091" w:type="dxa"/>
          </w:tcPr>
          <w:p w:rsidR="00800055" w:rsidP="00244895" w:rsidRDefault="00800055" w14:paraId="4D62CDD9" w14:textId="77777777">
            <w:r>
              <w:t>New Sections</w:t>
            </w:r>
          </w:p>
        </w:tc>
        <w:tc>
          <w:tcPr>
            <w:tcW w:w="3256" w:type="dxa"/>
          </w:tcPr>
          <w:p w:rsidR="00800055" w:rsidP="00244895" w:rsidRDefault="00800055" w14:paraId="627FEA67" w14:textId="77777777">
            <w:r>
              <w:t>No mention of RSWT relationship, conflicts of interest, or Charity Commission consent.</w:t>
            </w:r>
          </w:p>
        </w:tc>
        <w:tc>
          <w:tcPr>
            <w:tcW w:w="3720" w:type="dxa"/>
          </w:tcPr>
          <w:p w:rsidRPr="00E170FE" w:rsidR="00800055" w:rsidP="00244895" w:rsidRDefault="00800055" w14:paraId="605052D3" w14:textId="77777777">
            <w:pPr>
              <w:spacing w:after="200" w:line="276" w:lineRule="auto"/>
            </w:pPr>
            <w:r w:rsidRPr="00E170FE">
              <w:rPr>
                <w:b/>
                <w:bCs/>
              </w:rPr>
              <w:t>Relationship with the Royal Society of Wildlife Trusts</w:t>
            </w:r>
            <w:r w:rsidRPr="00E170FE">
              <w:t>: A new clause formalizes alignment and cooperation with RSWT.</w:t>
            </w:r>
          </w:p>
          <w:p w:rsidRPr="00E170FE" w:rsidR="00800055" w:rsidP="00244895" w:rsidRDefault="00800055" w14:paraId="04864797" w14:textId="77777777">
            <w:pPr>
              <w:spacing w:after="200" w:line="276" w:lineRule="auto"/>
            </w:pPr>
            <w:r w:rsidRPr="00E170FE">
              <w:rPr>
                <w:b/>
                <w:bCs/>
              </w:rPr>
              <w:t>Conflicts of interest and trustee benefits</w:t>
            </w:r>
            <w:r w:rsidRPr="00E170FE">
              <w:t>: Expanded to include connected persons, financial benefit definitions, and authorization conditions.</w:t>
            </w:r>
          </w:p>
          <w:p w:rsidR="00800055" w:rsidP="00244895" w:rsidRDefault="00800055" w14:paraId="2E7524A7" w14:textId="77777777">
            <w:pPr>
              <w:spacing w:after="200" w:line="276" w:lineRule="auto"/>
            </w:pPr>
            <w:r w:rsidRPr="00E170FE">
              <w:rPr>
                <w:b/>
                <w:bCs/>
              </w:rPr>
              <w:t>Charity Commission consent</w:t>
            </w:r>
            <w:r w:rsidRPr="00E170FE">
              <w:t xml:space="preserve">: Explicitly required for amendments to charitable purposes or </w:t>
            </w:r>
            <w:r>
              <w:t>t</w:t>
            </w:r>
            <w:r w:rsidRPr="00E170FE">
              <w:t>rustee benefits.</w:t>
            </w:r>
          </w:p>
        </w:tc>
      </w:tr>
      <w:tr w:rsidR="00800055" w:rsidTr="00244895" w14:paraId="57EEF134" w14:textId="77777777">
        <w:tc>
          <w:tcPr>
            <w:tcW w:w="2091" w:type="dxa"/>
          </w:tcPr>
          <w:p w:rsidR="00800055" w:rsidP="00244895" w:rsidRDefault="00800055" w14:paraId="66DE45D9" w14:textId="77777777">
            <w:r w:rsidRPr="00E170FE">
              <w:t>Trustee Responsibilities</w:t>
            </w:r>
          </w:p>
        </w:tc>
        <w:tc>
          <w:tcPr>
            <w:tcW w:w="3256" w:type="dxa"/>
          </w:tcPr>
          <w:p w:rsidR="00800055" w:rsidP="00244895" w:rsidRDefault="00800055" w14:paraId="782A7EA7" w14:textId="77777777">
            <w:r w:rsidRPr="00E170FE">
              <w:t>General references to trustee roles without detailed eligibility or disqualification criteria.</w:t>
            </w:r>
          </w:p>
        </w:tc>
        <w:tc>
          <w:tcPr>
            <w:tcW w:w="3720" w:type="dxa"/>
          </w:tcPr>
          <w:p w:rsidR="00800055" w:rsidP="00244895" w:rsidRDefault="00800055" w14:paraId="1149D14B" w14:textId="77777777">
            <w:r w:rsidRPr="00E170FE">
              <w:t>Expanded clauses on trustee eligibility, disqualification (e.g., mental incapacity, breach of conduct), and re-election limits.</w:t>
            </w:r>
          </w:p>
        </w:tc>
      </w:tr>
      <w:tr w:rsidR="00800055" w:rsidTr="00244895" w14:paraId="2C877DAC" w14:textId="77777777">
        <w:tc>
          <w:tcPr>
            <w:tcW w:w="2091" w:type="dxa"/>
          </w:tcPr>
          <w:p w:rsidRPr="00E170FE" w:rsidR="00800055" w:rsidP="00244895" w:rsidRDefault="00800055" w14:paraId="04A83242" w14:textId="77777777">
            <w:r w:rsidRPr="00E170FE">
              <w:t>Digital Communication</w:t>
            </w:r>
          </w:p>
        </w:tc>
        <w:tc>
          <w:tcPr>
            <w:tcW w:w="3256" w:type="dxa"/>
          </w:tcPr>
          <w:p w:rsidRPr="00E170FE" w:rsidR="00800055" w:rsidP="00244895" w:rsidRDefault="00800055" w14:paraId="439CC3B3" w14:textId="77777777">
            <w:r w:rsidRPr="00E170FE">
              <w:t>No mention of electronic meetings or digital communication.</w:t>
            </w:r>
          </w:p>
        </w:tc>
        <w:tc>
          <w:tcPr>
            <w:tcW w:w="3720" w:type="dxa"/>
          </w:tcPr>
          <w:p w:rsidRPr="00E170FE" w:rsidR="00800055" w:rsidP="00244895" w:rsidRDefault="00800055" w14:paraId="700C8CEE" w14:textId="77777777">
            <w:r w:rsidRPr="00E170FE">
              <w:t>Allows hybrid meetings, electronic voting, and digital communication methods.</w:t>
            </w:r>
          </w:p>
        </w:tc>
      </w:tr>
    </w:tbl>
    <w:p w:rsidR="00800055" w:rsidP="00800055" w:rsidRDefault="00800055" w14:paraId="64ED0906" w14:textId="77777777"/>
    <w:p w:rsidR="003207DC" w:rsidP="00800055" w:rsidRDefault="003207DC" w14:paraId="130C5199" w14:textId="77777777"/>
    <w:p w:rsidR="003207DC" w:rsidP="00800055" w:rsidRDefault="003207DC" w14:paraId="3AC9D95B" w14:textId="01850308">
      <w:r>
        <w:t>Ends</w:t>
      </w:r>
    </w:p>
    <w:sectPr w:rsidR="003207D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3BD"/>
    <w:multiLevelType w:val="hybridMultilevel"/>
    <w:tmpl w:val="D9123D8E"/>
    <w:lvl w:ilvl="0" w:tplc="CE2E7752">
      <w:start w:val="1"/>
      <w:numFmt w:val="lowerRoman"/>
      <w:lvlText w:val="%1."/>
      <w:lvlJc w:val="right"/>
      <w:pPr>
        <w:ind w:left="1020" w:hanging="360"/>
      </w:pPr>
    </w:lvl>
    <w:lvl w:ilvl="1" w:tplc="024A273A">
      <w:start w:val="1"/>
      <w:numFmt w:val="lowerRoman"/>
      <w:lvlText w:val="%2."/>
      <w:lvlJc w:val="right"/>
      <w:pPr>
        <w:ind w:left="1020" w:hanging="360"/>
      </w:pPr>
    </w:lvl>
    <w:lvl w:ilvl="2" w:tplc="60229248">
      <w:start w:val="1"/>
      <w:numFmt w:val="lowerRoman"/>
      <w:lvlText w:val="%3."/>
      <w:lvlJc w:val="right"/>
      <w:pPr>
        <w:ind w:left="1020" w:hanging="360"/>
      </w:pPr>
    </w:lvl>
    <w:lvl w:ilvl="3" w:tplc="79DC7166">
      <w:start w:val="1"/>
      <w:numFmt w:val="lowerRoman"/>
      <w:lvlText w:val="%4."/>
      <w:lvlJc w:val="right"/>
      <w:pPr>
        <w:ind w:left="1020" w:hanging="360"/>
      </w:pPr>
    </w:lvl>
    <w:lvl w:ilvl="4" w:tplc="B7D4B50C">
      <w:start w:val="1"/>
      <w:numFmt w:val="lowerRoman"/>
      <w:lvlText w:val="%5."/>
      <w:lvlJc w:val="right"/>
      <w:pPr>
        <w:ind w:left="1020" w:hanging="360"/>
      </w:pPr>
    </w:lvl>
    <w:lvl w:ilvl="5" w:tplc="2D962CBE">
      <w:start w:val="1"/>
      <w:numFmt w:val="lowerRoman"/>
      <w:lvlText w:val="%6."/>
      <w:lvlJc w:val="right"/>
      <w:pPr>
        <w:ind w:left="1020" w:hanging="360"/>
      </w:pPr>
    </w:lvl>
    <w:lvl w:ilvl="6" w:tplc="037CF51C">
      <w:start w:val="1"/>
      <w:numFmt w:val="lowerRoman"/>
      <w:lvlText w:val="%7."/>
      <w:lvlJc w:val="right"/>
      <w:pPr>
        <w:ind w:left="1020" w:hanging="360"/>
      </w:pPr>
    </w:lvl>
    <w:lvl w:ilvl="7" w:tplc="C3BC9664">
      <w:start w:val="1"/>
      <w:numFmt w:val="lowerRoman"/>
      <w:lvlText w:val="%8."/>
      <w:lvlJc w:val="right"/>
      <w:pPr>
        <w:ind w:left="1020" w:hanging="360"/>
      </w:pPr>
    </w:lvl>
    <w:lvl w:ilvl="8" w:tplc="01D46C06">
      <w:start w:val="1"/>
      <w:numFmt w:val="lowerRoman"/>
      <w:lvlText w:val="%9."/>
      <w:lvlJc w:val="right"/>
      <w:pPr>
        <w:ind w:left="1020" w:hanging="360"/>
      </w:pPr>
    </w:lvl>
  </w:abstractNum>
  <w:abstractNum w:abstractNumId="1" w15:restartNumberingAfterBreak="0">
    <w:nsid w:val="0FE74F7D"/>
    <w:multiLevelType w:val="multilevel"/>
    <w:tmpl w:val="2F54FCC4"/>
    <w:name w:val="Level"/>
    <w:lvl w:ilvl="0">
      <w:start w:val="1"/>
      <w:numFmt w:val="decimal"/>
      <w:pStyle w:val="Level1"/>
      <w:lvlText w:val="%1."/>
      <w:lvlJc w:val="left"/>
      <w:pPr>
        <w:tabs>
          <w:tab w:val="num" w:pos="2977"/>
        </w:tabs>
        <w:ind w:left="2977" w:hanging="709"/>
      </w:pPr>
      <w:rPr>
        <w:rFonts w:hint="default" w:ascii="Arial" w:hAnsi="Arial" w:cs="Arial"/>
        <w:b w:val="0"/>
      </w:rPr>
    </w:lvl>
    <w:lvl w:ilvl="1">
      <w:start w:val="1"/>
      <w:numFmt w:val="decimal"/>
      <w:pStyle w:val="Level2"/>
      <w:isLgl/>
      <w:lvlText w:val="%1.%2"/>
      <w:lvlJc w:val="left"/>
      <w:pPr>
        <w:tabs>
          <w:tab w:val="num" w:pos="709"/>
        </w:tabs>
        <w:ind w:left="709" w:hanging="709"/>
      </w:pPr>
      <w:rPr>
        <w:rFonts w:hint="default" w:ascii="Arial" w:hAnsi="Arial" w:cs="Arial"/>
        <w:b w:val="0"/>
      </w:rPr>
    </w:lvl>
    <w:lvl w:ilvl="2">
      <w:start w:val="1"/>
      <w:numFmt w:val="lowerLetter"/>
      <w:pStyle w:val="Level3"/>
      <w:lvlText w:val="(%3)"/>
      <w:lvlJc w:val="left"/>
      <w:pPr>
        <w:tabs>
          <w:tab w:val="num" w:pos="1417"/>
        </w:tabs>
        <w:ind w:left="1417" w:hanging="708"/>
      </w:pPr>
      <w:rPr>
        <w:rFonts w:ascii="Arial" w:hAnsi="Arial" w:eastAsia="Arial Unicode MS" w:cs="Times New Roman"/>
        <w:b w:val="0"/>
      </w:rPr>
    </w:lvl>
    <w:lvl w:ilvl="3">
      <w:start w:val="1"/>
      <w:numFmt w:val="lowerRoman"/>
      <w:pStyle w:val="Level4"/>
      <w:lvlText w:val="(%4)"/>
      <w:lvlJc w:val="left"/>
      <w:pPr>
        <w:tabs>
          <w:tab w:val="num" w:pos="2126"/>
        </w:tabs>
        <w:ind w:left="2126" w:hanging="709"/>
      </w:pPr>
      <w:rPr>
        <w:rFonts w:hint="default" w:ascii="Arial" w:hAnsi="Arial" w:cs="Arial"/>
        <w:b w:val="0"/>
      </w:rPr>
    </w:lvl>
    <w:lvl w:ilvl="4">
      <w:start w:val="1"/>
      <w:numFmt w:val="decimal"/>
      <w:pStyle w:val="Level5"/>
      <w:lvlText w:val="(%5)"/>
      <w:lvlJc w:val="left"/>
      <w:pPr>
        <w:tabs>
          <w:tab w:val="num" w:pos="2835"/>
        </w:tabs>
        <w:ind w:left="2835" w:hanging="709"/>
      </w:pPr>
      <w:rPr>
        <w:rFonts w:hint="default" w:ascii="Arial" w:hAnsi="Arial" w:cs="Arial"/>
        <w:b w:val="0"/>
      </w:rPr>
    </w:lvl>
    <w:lvl w:ilvl="5">
      <w:start w:val="1"/>
      <w:numFmt w:val="lowerRoman"/>
      <w:lvlText w:val="(%6)"/>
      <w:lvlJc w:val="left"/>
      <w:pPr>
        <w:tabs>
          <w:tab w:val="num" w:pos="2160"/>
        </w:tabs>
        <w:ind w:left="2160" w:hanging="360"/>
      </w:pPr>
      <w:rPr>
        <w:rFonts w:hint="default"/>
      </w:rPr>
    </w:lvl>
    <w:lvl w:ilvl="6">
      <w:start w:val="1"/>
      <w:numFmt w:val="lowerRoman"/>
      <w:lvlText w:val="%7."/>
      <w:lvlJc w:val="righ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802C95"/>
    <w:multiLevelType w:val="hybridMultilevel"/>
    <w:tmpl w:val="1CF66F14"/>
    <w:lvl w:ilvl="0" w:tplc="C95A12BE">
      <w:start w:val="1"/>
      <w:numFmt w:val="lowerLetter"/>
      <w:lvlText w:val="%1."/>
      <w:lvlJc w:val="left"/>
      <w:pPr>
        <w:ind w:left="1020" w:hanging="360"/>
      </w:pPr>
    </w:lvl>
    <w:lvl w:ilvl="1" w:tplc="6824C296">
      <w:start w:val="1"/>
      <w:numFmt w:val="lowerLetter"/>
      <w:lvlText w:val="%2."/>
      <w:lvlJc w:val="left"/>
      <w:pPr>
        <w:ind w:left="1020" w:hanging="360"/>
      </w:pPr>
    </w:lvl>
    <w:lvl w:ilvl="2" w:tplc="7B48E468">
      <w:start w:val="1"/>
      <w:numFmt w:val="lowerLetter"/>
      <w:lvlText w:val="%3."/>
      <w:lvlJc w:val="left"/>
      <w:pPr>
        <w:ind w:left="1020" w:hanging="360"/>
      </w:pPr>
    </w:lvl>
    <w:lvl w:ilvl="3" w:tplc="23442E02">
      <w:start w:val="1"/>
      <w:numFmt w:val="lowerLetter"/>
      <w:lvlText w:val="%4."/>
      <w:lvlJc w:val="left"/>
      <w:pPr>
        <w:ind w:left="1020" w:hanging="360"/>
      </w:pPr>
    </w:lvl>
    <w:lvl w:ilvl="4" w:tplc="50AADBA6">
      <w:start w:val="1"/>
      <w:numFmt w:val="lowerLetter"/>
      <w:lvlText w:val="%5."/>
      <w:lvlJc w:val="left"/>
      <w:pPr>
        <w:ind w:left="1020" w:hanging="360"/>
      </w:pPr>
    </w:lvl>
    <w:lvl w:ilvl="5" w:tplc="203A992A">
      <w:start w:val="1"/>
      <w:numFmt w:val="lowerLetter"/>
      <w:lvlText w:val="%6."/>
      <w:lvlJc w:val="left"/>
      <w:pPr>
        <w:ind w:left="1020" w:hanging="360"/>
      </w:pPr>
    </w:lvl>
    <w:lvl w:ilvl="6" w:tplc="733C4BEE">
      <w:start w:val="1"/>
      <w:numFmt w:val="lowerLetter"/>
      <w:lvlText w:val="%7."/>
      <w:lvlJc w:val="left"/>
      <w:pPr>
        <w:ind w:left="1020" w:hanging="360"/>
      </w:pPr>
    </w:lvl>
    <w:lvl w:ilvl="7" w:tplc="81F6207C">
      <w:start w:val="1"/>
      <w:numFmt w:val="lowerLetter"/>
      <w:lvlText w:val="%8."/>
      <w:lvlJc w:val="left"/>
      <w:pPr>
        <w:ind w:left="1020" w:hanging="360"/>
      </w:pPr>
    </w:lvl>
    <w:lvl w:ilvl="8" w:tplc="9140B6D6">
      <w:start w:val="1"/>
      <w:numFmt w:val="lowerLetter"/>
      <w:lvlText w:val="%9."/>
      <w:lvlJc w:val="left"/>
      <w:pPr>
        <w:ind w:left="1020" w:hanging="360"/>
      </w:pPr>
    </w:lvl>
  </w:abstractNum>
  <w:abstractNum w:abstractNumId="3" w15:restartNumberingAfterBreak="0">
    <w:nsid w:val="50CC7765"/>
    <w:multiLevelType w:val="hybridMultilevel"/>
    <w:tmpl w:val="10E2FD58"/>
    <w:lvl w:ilvl="0" w:tplc="B0A2AF50">
      <w:start w:val="1"/>
      <w:numFmt w:val="lowerLetter"/>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5531901"/>
    <w:multiLevelType w:val="hybridMultilevel"/>
    <w:tmpl w:val="FFCE50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6505EA"/>
    <w:multiLevelType w:val="hybridMultilevel"/>
    <w:tmpl w:val="0BBED932"/>
    <w:lvl w:ilvl="0" w:tplc="D9B218EA">
      <w:start w:val="1"/>
      <w:numFmt w:val="lowerRoman"/>
      <w:lvlText w:val="%1."/>
      <w:lvlJc w:val="right"/>
      <w:pPr>
        <w:ind w:left="1020" w:hanging="360"/>
      </w:pPr>
    </w:lvl>
    <w:lvl w:ilvl="1" w:tplc="1694A1CC">
      <w:start w:val="1"/>
      <w:numFmt w:val="lowerRoman"/>
      <w:lvlText w:val="%2."/>
      <w:lvlJc w:val="right"/>
      <w:pPr>
        <w:ind w:left="1020" w:hanging="360"/>
      </w:pPr>
    </w:lvl>
    <w:lvl w:ilvl="2" w:tplc="A7C49C72">
      <w:start w:val="1"/>
      <w:numFmt w:val="lowerRoman"/>
      <w:lvlText w:val="%3."/>
      <w:lvlJc w:val="right"/>
      <w:pPr>
        <w:ind w:left="1020" w:hanging="360"/>
      </w:pPr>
    </w:lvl>
    <w:lvl w:ilvl="3" w:tplc="396C6FFC">
      <w:start w:val="1"/>
      <w:numFmt w:val="lowerRoman"/>
      <w:lvlText w:val="%4."/>
      <w:lvlJc w:val="right"/>
      <w:pPr>
        <w:ind w:left="1020" w:hanging="360"/>
      </w:pPr>
    </w:lvl>
    <w:lvl w:ilvl="4" w:tplc="818C7E0E">
      <w:start w:val="1"/>
      <w:numFmt w:val="lowerRoman"/>
      <w:lvlText w:val="%5."/>
      <w:lvlJc w:val="right"/>
      <w:pPr>
        <w:ind w:left="1020" w:hanging="360"/>
      </w:pPr>
    </w:lvl>
    <w:lvl w:ilvl="5" w:tplc="4548508E">
      <w:start w:val="1"/>
      <w:numFmt w:val="lowerRoman"/>
      <w:lvlText w:val="%6."/>
      <w:lvlJc w:val="right"/>
      <w:pPr>
        <w:ind w:left="1020" w:hanging="360"/>
      </w:pPr>
    </w:lvl>
    <w:lvl w:ilvl="6" w:tplc="D77677F6">
      <w:start w:val="1"/>
      <w:numFmt w:val="lowerRoman"/>
      <w:lvlText w:val="%7."/>
      <w:lvlJc w:val="right"/>
      <w:pPr>
        <w:ind w:left="1020" w:hanging="360"/>
      </w:pPr>
    </w:lvl>
    <w:lvl w:ilvl="7" w:tplc="A210EC74">
      <w:start w:val="1"/>
      <w:numFmt w:val="lowerRoman"/>
      <w:lvlText w:val="%8."/>
      <w:lvlJc w:val="right"/>
      <w:pPr>
        <w:ind w:left="1020" w:hanging="360"/>
      </w:pPr>
    </w:lvl>
    <w:lvl w:ilvl="8" w:tplc="B7B05BBE">
      <w:start w:val="1"/>
      <w:numFmt w:val="lowerRoman"/>
      <w:lvlText w:val="%9."/>
      <w:lvlJc w:val="right"/>
      <w:pPr>
        <w:ind w:left="1020" w:hanging="360"/>
      </w:pPr>
    </w:lvl>
  </w:abstractNum>
  <w:num w:numId="1" w16cid:durableId="1741635677">
    <w:abstractNumId w:val="4"/>
  </w:num>
  <w:num w:numId="2" w16cid:durableId="827787768">
    <w:abstractNumId w:val="1"/>
  </w:num>
  <w:num w:numId="3" w16cid:durableId="502479520">
    <w:abstractNumId w:val="3"/>
  </w:num>
  <w:num w:numId="4" w16cid:durableId="1625236725">
    <w:abstractNumId w:val="2"/>
  </w:num>
  <w:num w:numId="5" w16cid:durableId="1155493965">
    <w:abstractNumId w:val="0"/>
  </w:num>
  <w:num w:numId="6" w16cid:durableId="8338319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55"/>
    <w:rsid w:val="00287DF0"/>
    <w:rsid w:val="003207DC"/>
    <w:rsid w:val="007D7748"/>
    <w:rsid w:val="007E21FA"/>
    <w:rsid w:val="00800055"/>
    <w:rsid w:val="00913B3A"/>
    <w:rsid w:val="00AE18E4"/>
    <w:rsid w:val="00DA5994"/>
    <w:rsid w:val="7F4A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7D54"/>
  <w15:chartTrackingRefBased/>
  <w15:docId w15:val="{5E0892F6-92D6-40CF-AD5E-C382E92498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17"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17"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7"/>
    <w:qFormat/>
    <w:rsid w:val="00800055"/>
    <w:pPr>
      <w:spacing w:after="0" w:line="264" w:lineRule="auto"/>
      <w:jc w:val="both"/>
    </w:pPr>
    <w:rPr>
      <w:rFonts w:ascii="Arial" w:hAnsi="Arial" w:eastAsia="Arial Unicode MS" w:cs="Times New Roman"/>
      <w:kern w:val="0"/>
      <w:sz w:val="21"/>
      <w:szCs w:val="21"/>
      <w:lang w:eastAsia="en-GB"/>
      <w14:ligatures w14:val="none"/>
    </w:rPr>
  </w:style>
  <w:style w:type="paragraph" w:styleId="Heading1">
    <w:name w:val="heading 1"/>
    <w:basedOn w:val="Normal"/>
    <w:next w:val="Normal"/>
    <w:link w:val="Heading1Char"/>
    <w:uiPriority w:val="9"/>
    <w:qFormat/>
    <w:rsid w:val="008000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0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0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0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0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05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00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000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000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000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000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000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00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00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0055"/>
    <w:rPr>
      <w:rFonts w:eastAsiaTheme="majorEastAsia" w:cstheme="majorBidi"/>
      <w:color w:val="272727" w:themeColor="text1" w:themeTint="D8"/>
    </w:rPr>
  </w:style>
  <w:style w:type="paragraph" w:styleId="Title">
    <w:name w:val="Title"/>
    <w:basedOn w:val="Normal"/>
    <w:next w:val="Normal"/>
    <w:link w:val="TitleChar"/>
    <w:uiPriority w:val="10"/>
    <w:qFormat/>
    <w:rsid w:val="0080005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00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00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0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55"/>
    <w:pPr>
      <w:spacing w:before="160"/>
      <w:jc w:val="center"/>
    </w:pPr>
    <w:rPr>
      <w:i/>
      <w:iCs/>
      <w:color w:val="404040" w:themeColor="text1" w:themeTint="BF"/>
    </w:rPr>
  </w:style>
  <w:style w:type="character" w:styleId="QuoteChar" w:customStyle="1">
    <w:name w:val="Quote Char"/>
    <w:basedOn w:val="DefaultParagraphFont"/>
    <w:link w:val="Quote"/>
    <w:uiPriority w:val="29"/>
    <w:rsid w:val="00800055"/>
    <w:rPr>
      <w:i/>
      <w:iCs/>
      <w:color w:val="404040" w:themeColor="text1" w:themeTint="BF"/>
    </w:rPr>
  </w:style>
  <w:style w:type="paragraph" w:styleId="ListParagraph">
    <w:name w:val="List Paragraph"/>
    <w:basedOn w:val="Normal"/>
    <w:uiPriority w:val="44"/>
    <w:qFormat/>
    <w:rsid w:val="00800055"/>
    <w:pPr>
      <w:ind w:left="720"/>
      <w:contextualSpacing/>
    </w:pPr>
  </w:style>
  <w:style w:type="character" w:styleId="IntenseEmphasis">
    <w:name w:val="Intense Emphasis"/>
    <w:basedOn w:val="DefaultParagraphFont"/>
    <w:uiPriority w:val="21"/>
    <w:qFormat/>
    <w:rsid w:val="00800055"/>
    <w:rPr>
      <w:i/>
      <w:iCs/>
      <w:color w:val="0F4761" w:themeColor="accent1" w:themeShade="BF"/>
    </w:rPr>
  </w:style>
  <w:style w:type="paragraph" w:styleId="IntenseQuote">
    <w:name w:val="Intense Quote"/>
    <w:basedOn w:val="Normal"/>
    <w:next w:val="Normal"/>
    <w:link w:val="IntenseQuoteChar"/>
    <w:uiPriority w:val="30"/>
    <w:qFormat/>
    <w:rsid w:val="008000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00055"/>
    <w:rPr>
      <w:i/>
      <w:iCs/>
      <w:color w:val="0F4761" w:themeColor="accent1" w:themeShade="BF"/>
    </w:rPr>
  </w:style>
  <w:style w:type="character" w:styleId="IntenseReference">
    <w:name w:val="Intense Reference"/>
    <w:basedOn w:val="DefaultParagraphFont"/>
    <w:uiPriority w:val="32"/>
    <w:qFormat/>
    <w:rsid w:val="00800055"/>
    <w:rPr>
      <w:b/>
      <w:bCs/>
      <w:smallCaps/>
      <w:color w:val="0F4761" w:themeColor="accent1" w:themeShade="BF"/>
      <w:spacing w:val="5"/>
    </w:rPr>
  </w:style>
  <w:style w:type="character" w:styleId="Heading1Text" w:customStyle="1">
    <w:name w:val="Heading 1 Text"/>
    <w:basedOn w:val="DefaultParagraphFont"/>
    <w:qFormat/>
    <w:rsid w:val="00800055"/>
    <w:rPr>
      <w:b/>
      <w:smallCaps/>
    </w:rPr>
  </w:style>
  <w:style w:type="table" w:styleId="TableGrid">
    <w:name w:val="Table Grid"/>
    <w:basedOn w:val="TableNormal"/>
    <w:uiPriority w:val="59"/>
    <w:rsid w:val="00800055"/>
    <w:pPr>
      <w:spacing w:after="0" w:line="240" w:lineRule="auto"/>
      <w:jc w:val="both"/>
    </w:pPr>
    <w:rPr>
      <w:rFonts w:ascii="Arial" w:hAnsi="Arial" w:eastAsia="Times New Roman" w:cs="Times New Roman"/>
      <w:kern w:val="0"/>
      <w:sz w:val="21"/>
      <w:szCs w:val="21"/>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2" w:customStyle="1">
    <w:name w:val="Body 2"/>
    <w:basedOn w:val="Normal"/>
    <w:link w:val="Body2Char"/>
    <w:qFormat/>
    <w:rsid w:val="00800055"/>
    <w:pPr>
      <w:spacing w:after="210"/>
      <w:ind w:left="709"/>
    </w:pPr>
  </w:style>
  <w:style w:type="character" w:styleId="BoldText" w:customStyle="1">
    <w:name w:val="BoldText"/>
    <w:basedOn w:val="DefaultParagraphFont"/>
    <w:uiPriority w:val="15"/>
    <w:qFormat/>
    <w:rsid w:val="00800055"/>
    <w:rPr>
      <w:b/>
    </w:rPr>
  </w:style>
  <w:style w:type="paragraph" w:styleId="Level1" w:customStyle="1">
    <w:name w:val="Level 1"/>
    <w:basedOn w:val="Normal"/>
    <w:next w:val="Body2"/>
    <w:uiPriority w:val="6"/>
    <w:qFormat/>
    <w:rsid w:val="00800055"/>
    <w:pPr>
      <w:numPr>
        <w:numId w:val="2"/>
      </w:numPr>
      <w:tabs>
        <w:tab w:val="clear" w:pos="2977"/>
        <w:tab w:val="num" w:pos="709"/>
      </w:tabs>
      <w:spacing w:after="210"/>
      <w:ind w:left="709"/>
      <w:outlineLvl w:val="0"/>
    </w:pPr>
  </w:style>
  <w:style w:type="paragraph" w:styleId="Level2" w:customStyle="1">
    <w:name w:val="Level 2"/>
    <w:basedOn w:val="Body2"/>
    <w:next w:val="Body2"/>
    <w:link w:val="Level2Char"/>
    <w:uiPriority w:val="6"/>
    <w:qFormat/>
    <w:rsid w:val="00800055"/>
    <w:pPr>
      <w:numPr>
        <w:ilvl w:val="1"/>
        <w:numId w:val="2"/>
      </w:numPr>
      <w:outlineLvl w:val="1"/>
    </w:pPr>
  </w:style>
  <w:style w:type="paragraph" w:styleId="Level3" w:customStyle="1">
    <w:name w:val="Level 3"/>
    <w:basedOn w:val="Normal"/>
    <w:next w:val="Normal"/>
    <w:link w:val="Level3Char"/>
    <w:uiPriority w:val="6"/>
    <w:qFormat/>
    <w:rsid w:val="00800055"/>
    <w:pPr>
      <w:numPr>
        <w:ilvl w:val="2"/>
        <w:numId w:val="2"/>
      </w:numPr>
      <w:spacing w:after="210"/>
      <w:outlineLvl w:val="2"/>
    </w:pPr>
  </w:style>
  <w:style w:type="paragraph" w:styleId="Level4" w:customStyle="1">
    <w:name w:val="Level 4"/>
    <w:basedOn w:val="Normal"/>
    <w:next w:val="Normal"/>
    <w:uiPriority w:val="6"/>
    <w:qFormat/>
    <w:rsid w:val="00800055"/>
    <w:pPr>
      <w:numPr>
        <w:ilvl w:val="3"/>
        <w:numId w:val="2"/>
      </w:numPr>
      <w:spacing w:after="210"/>
      <w:outlineLvl w:val="3"/>
    </w:pPr>
  </w:style>
  <w:style w:type="paragraph" w:styleId="Level5" w:customStyle="1">
    <w:name w:val="Level 5"/>
    <w:basedOn w:val="Normal"/>
    <w:next w:val="Normal"/>
    <w:uiPriority w:val="6"/>
    <w:qFormat/>
    <w:rsid w:val="00800055"/>
    <w:pPr>
      <w:numPr>
        <w:ilvl w:val="4"/>
        <w:numId w:val="2"/>
      </w:numPr>
      <w:spacing w:after="210"/>
      <w:outlineLvl w:val="4"/>
    </w:pPr>
  </w:style>
  <w:style w:type="character" w:styleId="CommentReference">
    <w:name w:val="annotation reference"/>
    <w:basedOn w:val="DefaultParagraphFont"/>
    <w:uiPriority w:val="17"/>
    <w:semiHidden/>
    <w:rsid w:val="00800055"/>
    <w:rPr>
      <w:sz w:val="16"/>
    </w:rPr>
  </w:style>
  <w:style w:type="paragraph" w:styleId="CommentText">
    <w:name w:val="annotation text"/>
    <w:basedOn w:val="Normal"/>
    <w:link w:val="CommentTextChar"/>
    <w:uiPriority w:val="17"/>
    <w:semiHidden/>
    <w:rsid w:val="00800055"/>
    <w:rPr>
      <w:sz w:val="20"/>
    </w:rPr>
  </w:style>
  <w:style w:type="character" w:styleId="CommentTextChar" w:customStyle="1">
    <w:name w:val="Comment Text Char"/>
    <w:basedOn w:val="DefaultParagraphFont"/>
    <w:link w:val="CommentText"/>
    <w:uiPriority w:val="17"/>
    <w:semiHidden/>
    <w:rsid w:val="00800055"/>
    <w:rPr>
      <w:rFonts w:ascii="Arial" w:hAnsi="Arial" w:eastAsia="Arial Unicode MS" w:cs="Times New Roman"/>
      <w:kern w:val="0"/>
      <w:sz w:val="20"/>
      <w:szCs w:val="21"/>
      <w:lang w:eastAsia="en-GB"/>
      <w14:ligatures w14:val="none"/>
    </w:rPr>
  </w:style>
  <w:style w:type="character" w:styleId="Body2Char" w:customStyle="1">
    <w:name w:val="Body 2 Char"/>
    <w:basedOn w:val="DefaultParagraphFont"/>
    <w:link w:val="Body2"/>
    <w:rsid w:val="00800055"/>
    <w:rPr>
      <w:rFonts w:ascii="Arial" w:hAnsi="Arial" w:eastAsia="Arial Unicode MS" w:cs="Times New Roman"/>
      <w:kern w:val="0"/>
      <w:sz w:val="21"/>
      <w:szCs w:val="21"/>
      <w:lang w:eastAsia="en-GB"/>
      <w14:ligatures w14:val="none"/>
    </w:rPr>
  </w:style>
  <w:style w:type="character" w:styleId="Level2Char" w:customStyle="1">
    <w:name w:val="Level 2 Char"/>
    <w:basedOn w:val="Body2Char"/>
    <w:link w:val="Level2"/>
    <w:uiPriority w:val="6"/>
    <w:rsid w:val="00800055"/>
    <w:rPr>
      <w:rFonts w:ascii="Arial" w:hAnsi="Arial" w:eastAsia="Arial Unicode MS" w:cs="Times New Roman"/>
      <w:kern w:val="0"/>
      <w:sz w:val="21"/>
      <w:szCs w:val="21"/>
      <w:lang w:eastAsia="en-GB"/>
      <w14:ligatures w14:val="none"/>
    </w:rPr>
  </w:style>
  <w:style w:type="character" w:styleId="Level3Char" w:customStyle="1">
    <w:name w:val="Level 3 Char"/>
    <w:basedOn w:val="DefaultParagraphFont"/>
    <w:link w:val="Level3"/>
    <w:uiPriority w:val="6"/>
    <w:rsid w:val="00800055"/>
    <w:rPr>
      <w:rFonts w:ascii="Arial" w:hAnsi="Arial" w:eastAsia="Arial Unicode MS" w:cs="Times New Roman"/>
      <w:kern w:val="0"/>
      <w:sz w:val="21"/>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eb9109-643a-40dc-8cc4-a44df5400837" xsi:nil="true"/>
    <lcf76f155ced4ddcb4097134ff3c332f xmlns="1a45fd08-f958-4a79-aa84-0a917a1f19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B3DD25E323F543B8B493A1ED37CB99" ma:contentTypeVersion="15" ma:contentTypeDescription="Create a new document." ma:contentTypeScope="" ma:versionID="68b1f16b7d353b0c1fc101cad82d1ce6">
  <xsd:schema xmlns:xsd="http://www.w3.org/2001/XMLSchema" xmlns:xs="http://www.w3.org/2001/XMLSchema" xmlns:p="http://schemas.microsoft.com/office/2006/metadata/properties" xmlns:ns2="1a45fd08-f958-4a79-aa84-0a917a1f1962" xmlns:ns3="46eb9109-643a-40dc-8cc4-a44df5400837" targetNamespace="http://schemas.microsoft.com/office/2006/metadata/properties" ma:root="true" ma:fieldsID="a1a871f20010b20c1b94e4a7397402de" ns2:_="" ns3:_="">
    <xsd:import namespace="1a45fd08-f958-4a79-aa84-0a917a1f1962"/>
    <xsd:import namespace="46eb9109-643a-40dc-8cc4-a44df5400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5fd08-f958-4a79-aa84-0a917a1f1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c48087-b35f-4e0a-983e-704b265b5b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b9109-643a-40dc-8cc4-a44df5400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2b47ac-3edd-468d-bf1a-ebed159a24fe}" ma:internalName="TaxCatchAll" ma:showField="CatchAllData" ma:web="46eb9109-643a-40dc-8cc4-a44df540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F0852-D9E9-469B-8856-5C846F8D9234}">
  <ds:schemaRef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1a45fd08-f958-4a79-aa84-0a917a1f1962"/>
    <ds:schemaRef ds:uri="http://schemas.openxmlformats.org/package/2006/metadata/core-properties"/>
    <ds:schemaRef ds:uri="46eb9109-643a-40dc-8cc4-a44df5400837"/>
  </ds:schemaRefs>
</ds:datastoreItem>
</file>

<file path=customXml/itemProps2.xml><?xml version="1.0" encoding="utf-8"?>
<ds:datastoreItem xmlns:ds="http://schemas.openxmlformats.org/officeDocument/2006/customXml" ds:itemID="{BA886781-9A11-4470-9078-AA0CBD0A114C}">
  <ds:schemaRefs>
    <ds:schemaRef ds:uri="http://schemas.microsoft.com/sharepoint/v3/contenttype/forms"/>
  </ds:schemaRefs>
</ds:datastoreItem>
</file>

<file path=customXml/itemProps3.xml><?xml version="1.0" encoding="utf-8"?>
<ds:datastoreItem xmlns:ds="http://schemas.openxmlformats.org/officeDocument/2006/customXml" ds:itemID="{F65DF244-EBD8-45AF-93F6-2A37564F4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5fd08-f958-4a79-aa84-0a917a1f1962"/>
    <ds:schemaRef ds:uri="46eb9109-643a-40dc-8cc4-a44df540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Porter</dc:creator>
  <keywords/>
  <dc:description/>
  <lastModifiedBy>Debbie Stenner</lastModifiedBy>
  <revision>5</revision>
  <dcterms:created xsi:type="dcterms:W3CDTF">2025-09-05T12:35:00.0000000Z</dcterms:created>
  <dcterms:modified xsi:type="dcterms:W3CDTF">2025-09-26T12:20:05.1894886Z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0x01010073B3DD25E323F543B8B493A1ED37CB99</vt:lpwstr>
  </property>
  <property fmtid="{D5CDD505-2E9C-101B-9397-08002B2CF9AE}" pid="3" name="MediaServiceImageTags">
    <vt:lpwstr/>
  </property>
  <property fmtid="{D5CDD505-2E9C-101B-9397-08002B2CF9AE}" pid="5" name="docLang">
    <vt:lpwstr>en</vt:lpwstr>
  </property>
</Properties>
</file>